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37" w:rsidRPr="00E90DFA" w:rsidRDefault="00514537" w:rsidP="00514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FA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514537" w:rsidRPr="00E90DFA" w:rsidRDefault="00514537" w:rsidP="00514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514537" w:rsidRPr="00E90DFA" w:rsidRDefault="00514537" w:rsidP="00514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514537" w:rsidRPr="00E90DFA" w:rsidRDefault="00514537" w:rsidP="005145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514537" w:rsidRPr="00E90DFA" w:rsidRDefault="00514537" w:rsidP="00514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A7150D" w:rsidRPr="00E90DFA" w:rsidRDefault="00A7150D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Кафедра Вычислительных методов</w:t>
      </w:r>
    </w:p>
    <w:p w:rsidR="00200F2C" w:rsidRPr="00E90DFA" w:rsidRDefault="0004154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FA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04154C" w:rsidRPr="00E90DFA" w:rsidRDefault="0004154C" w:rsidP="00261F4C">
      <w:pPr>
        <w:pStyle w:val="8"/>
        <w:spacing w:after="200" w:line="276" w:lineRule="auto"/>
        <w:jc w:val="center"/>
        <w:rPr>
          <w:sz w:val="24"/>
        </w:rPr>
      </w:pPr>
      <w:r w:rsidRPr="00E90DFA">
        <w:rPr>
          <w:sz w:val="24"/>
        </w:rPr>
        <w:t>Уравнения математической физики</w:t>
      </w:r>
    </w:p>
    <w:p w:rsidR="0004154C" w:rsidRPr="00E90DFA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bCs/>
          <w:sz w:val="24"/>
          <w:szCs w:val="24"/>
        </w:rPr>
        <w:tab/>
      </w:r>
      <w:r w:rsidR="0004154C" w:rsidRPr="00E90DFA">
        <w:rPr>
          <w:rFonts w:ascii="Times New Roman" w:hAnsi="Times New Roman" w:cs="Times New Roman"/>
          <w:bCs/>
          <w:sz w:val="24"/>
          <w:szCs w:val="24"/>
        </w:rPr>
        <w:t>Курс посвящен изучению математических моделей физических явлений, приводящих к дифференциальным уравнениям в частных производных второго порядка. Он знакомит слушателей с построением соответствующих моделей, с методами решений возникающих при этом математических задач, с выяснением физического смысла полученного решения.</w:t>
      </w:r>
    </w:p>
    <w:p w:rsidR="0004154C" w:rsidRPr="00E90DFA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Численные методы линейной алг</w:t>
      </w:r>
      <w:r w:rsidR="00812521" w:rsidRPr="00E90DFA">
        <w:rPr>
          <w:rFonts w:ascii="Times New Roman" w:hAnsi="Times New Roman" w:cs="Times New Roman"/>
          <w:b/>
          <w:sz w:val="24"/>
          <w:szCs w:val="24"/>
        </w:rPr>
        <w:t>ебры</w:t>
      </w:r>
    </w:p>
    <w:p w:rsidR="0004154C" w:rsidRPr="00E90DFA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  <w:t>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матрицей, а также собственных значений (и собственных векторов) таких матриц.</w:t>
      </w:r>
    </w:p>
    <w:p w:rsidR="0004154C" w:rsidRPr="00E90DFA" w:rsidRDefault="0004154C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DFA">
        <w:rPr>
          <w:rFonts w:ascii="Times New Roman" w:hAnsi="Times New Roman" w:cs="Times New Roman"/>
          <w:b/>
          <w:bCs/>
          <w:sz w:val="24"/>
          <w:szCs w:val="24"/>
        </w:rPr>
        <w:t>Функциональный анализ</w:t>
      </w:r>
    </w:p>
    <w:p w:rsidR="00514537" w:rsidRPr="00E90DFA" w:rsidRDefault="00200F2C" w:rsidP="00514537">
      <w:pPr>
        <w:pStyle w:val="amailrucssattributepostfix"/>
        <w:spacing w:before="0" w:beforeAutospacing="0" w:after="120" w:afterAutospacing="0" w:line="276" w:lineRule="auto"/>
        <w:jc w:val="both"/>
      </w:pPr>
      <w:r w:rsidRPr="00E90DFA">
        <w:tab/>
      </w:r>
      <w:r w:rsidR="00514537" w:rsidRPr="00E90DFA">
        <w:t xml:space="preserve">Целью освоения дисциплины «Функциональный анализ» являются ознакомление студентов с основными понятиями и базовыми принципами функционального анализа, его приложениями к различным задачам математической физики и других разделов математики, развитие навыков применения полученных знаний к конкретным задачам. </w:t>
      </w:r>
    </w:p>
    <w:p w:rsidR="00514537" w:rsidRPr="00E90DFA" w:rsidRDefault="00514537" w:rsidP="00514537">
      <w:pPr>
        <w:pStyle w:val="amailrucssattributepostfix"/>
        <w:spacing w:before="0" w:beforeAutospacing="0" w:after="120" w:afterAutospacing="0" w:line="276" w:lineRule="auto"/>
        <w:jc w:val="both"/>
      </w:pPr>
      <w:r w:rsidRPr="00E90DFA">
        <w:tab/>
        <w:t xml:space="preserve">Дисциплина относится к базовой части профессионального цикла. </w:t>
      </w:r>
      <w:proofErr w:type="gramStart"/>
      <w:r w:rsidRPr="00E90DFA">
        <w:t>Курс опирается на знания и навыки, полученные студентами при изучении основных математических дисциплин на первых двух курсах: математического анализа, теории функции комплексного переменного, линейной алгебры и аналитической геометрии, дифференциальных уравнений, теории вероятности и математической статистики.</w:t>
      </w:r>
      <w:proofErr w:type="gramEnd"/>
    </w:p>
    <w:p w:rsidR="00514537" w:rsidRPr="00E90DFA" w:rsidRDefault="00514537" w:rsidP="00514537">
      <w:pPr>
        <w:pStyle w:val="amailrucssattributepostfix"/>
        <w:spacing w:before="0" w:beforeAutospacing="0" w:after="120" w:afterAutospacing="0" w:line="276" w:lineRule="auto"/>
        <w:jc w:val="both"/>
      </w:pPr>
      <w:r w:rsidRPr="00E90DFA">
        <w:tab/>
        <w:t xml:space="preserve">В курсе излагаются начальные главы функционального анализа: теория меры и интеграл Лебега, метрические пространства, принцип сжимающих отображений, функциональные пространства и операторы, обобщенные производные, пространства Соболева, теория Фредгольма, теорема о неподвижной точке. </w:t>
      </w:r>
    </w:p>
    <w:p w:rsidR="0004154C" w:rsidRPr="00E90DFA" w:rsidRDefault="00514537" w:rsidP="00514537">
      <w:pPr>
        <w:pStyle w:val="amailrucssattributepostfix"/>
        <w:spacing w:before="0" w:beforeAutospacing="0" w:after="200" w:afterAutospacing="0" w:line="276" w:lineRule="auto"/>
        <w:jc w:val="both"/>
      </w:pPr>
      <w:r w:rsidRPr="00E90DFA">
        <w:tab/>
        <w:t>Освоение данной дисциплины необходимо для дальнейшего изучения уравнений математической физики, интегральных уравнений, методов оптимизации и многих специальных курсов.</w:t>
      </w:r>
    </w:p>
    <w:p w:rsidR="0004154C" w:rsidRPr="00E90DFA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 xml:space="preserve">Базы данных </w:t>
      </w:r>
    </w:p>
    <w:p w:rsidR="0004154C" w:rsidRPr="00E90DFA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Курс начинается с рассмотрения основных понятий систем управления базами данных (СУБД). Выделяются ключевые отличия СУБД от файловой системы и основные черты таких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дореляционных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моделей данных как иерархическая, сетевая и модель данных инвертированных таблиц. Далее рассматривается реляционная модель данных (включая механизмы манипулирования) и теория проектирования реляционных БД на основе процедуры нормализации. После этого описывается процесс проектирование БД с использованием диаграмм «сущность-связь» и диаграмм классов языка UML и рассматриваются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модели данных: объектно-ориентированная модель, объектно-реляционные расширения SQL, "истинная" реляционн</w:t>
      </w:r>
      <w:bookmarkStart w:id="0" w:name="_GoBack"/>
      <w:bookmarkEnd w:id="0"/>
      <w:r w:rsidRPr="00E90DFA">
        <w:rPr>
          <w:rFonts w:ascii="Times New Roman" w:hAnsi="Times New Roman" w:cs="Times New Roman"/>
          <w:sz w:val="24"/>
          <w:szCs w:val="24"/>
        </w:rPr>
        <w:t xml:space="preserve">ая модель. В рамках курса также рассматриваются базовые средства языка </w:t>
      </w:r>
      <w:r w:rsidRPr="00E90DFA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E90DFA">
        <w:rPr>
          <w:rFonts w:ascii="Times New Roman" w:hAnsi="Times New Roman" w:cs="Times New Roman"/>
          <w:sz w:val="24"/>
          <w:szCs w:val="24"/>
        </w:rPr>
        <w:t xml:space="preserve"> для определения и изменения схемы базы данных, выборки и модификации данных, авторизации доступа и управления транзакциями.</w:t>
      </w:r>
    </w:p>
    <w:p w:rsidR="0004154C" w:rsidRPr="00E90DFA" w:rsidRDefault="0004154C" w:rsidP="00261F4C">
      <w:pPr>
        <w:pStyle w:val="a3"/>
        <w:spacing w:after="200" w:line="276" w:lineRule="auto"/>
        <w:rPr>
          <w:sz w:val="24"/>
          <w:szCs w:val="24"/>
        </w:rPr>
      </w:pPr>
      <w:r w:rsidRPr="00E90DFA">
        <w:rPr>
          <w:sz w:val="24"/>
          <w:szCs w:val="24"/>
        </w:rPr>
        <w:t>Компьютерная графика</w:t>
      </w:r>
    </w:p>
    <w:p w:rsidR="0004154C" w:rsidRPr="00E90DFA" w:rsidRDefault="00200F2C" w:rsidP="00200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DFA">
        <w:rPr>
          <w:rFonts w:ascii="Times New Roman" w:eastAsia="Calibri" w:hAnsi="Times New Roman" w:cs="Times New Roman"/>
          <w:sz w:val="24"/>
          <w:szCs w:val="24"/>
        </w:rPr>
        <w:tab/>
      </w:r>
      <w:r w:rsidR="0004154C" w:rsidRPr="00E90DFA">
        <w:rPr>
          <w:rFonts w:ascii="Times New Roman" w:eastAsia="Calibri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="0004154C" w:rsidRPr="00E90DFA">
        <w:rPr>
          <w:rFonts w:ascii="Times New Roman" w:eastAsia="Calibri" w:hAnsi="Times New Roman" w:cs="Times New Roman"/>
          <w:sz w:val="24"/>
          <w:szCs w:val="24"/>
        </w:rPr>
        <w:t>псевдотонирование</w:t>
      </w:r>
      <w:proofErr w:type="spellEnd"/>
      <w:r w:rsidR="0004154C" w:rsidRPr="00E90DFA">
        <w:rPr>
          <w:rFonts w:ascii="Times New Roman" w:eastAsia="Calibri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="0004154C" w:rsidRPr="00E90DFA">
        <w:rPr>
          <w:rFonts w:ascii="Times New Roman" w:eastAsia="Calibri" w:hAnsi="Times New Roman" w:cs="Times New Roman"/>
          <w:sz w:val="24"/>
          <w:szCs w:val="24"/>
        </w:rPr>
        <w:t>OpenGL</w:t>
      </w:r>
      <w:proofErr w:type="spellEnd"/>
      <w:r w:rsidR="0004154C" w:rsidRPr="00E90D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154C" w:rsidRPr="00E90DFA" w:rsidRDefault="0004154C" w:rsidP="00261F4C">
      <w:pPr>
        <w:pStyle w:val="9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90DF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Физика волновых процессов</w:t>
      </w:r>
    </w:p>
    <w:p w:rsidR="0004154C" w:rsidRPr="00E90DFA" w:rsidRDefault="00200F2C" w:rsidP="00261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</w:r>
      <w:r w:rsidR="00514537" w:rsidRPr="00E90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Изучаются основные закономерности волновых явлений, общие для процессов различной физической природы. Наряду с общими свойствами волновых процессов и их математическим описанием рассматриваются акустические и электромагнитные волны, энергетические соотношения при распространении волн, отражение и преломление волн на границе раздела двух сред. В изучении модулированных волн внимание сосредоточено на вопросах передачи информации, а также на спектральном аппарате и дискретном преобразовании Фурье в анализе сигналов. При рассмотрении дисперсии волн обсуждаются вопросы, связанные со скоростью передачи информации в волоконно-оптических линиях связи, интерференции волн – задачи просветления оптики и формирования диаграммы направленности антенных решеток. В дисциплине также представлены: приближенная теория дифракции Кирхгофа, дифракция Френеля и Фраунгофера, эффект </w:t>
      </w:r>
      <w:proofErr w:type="spellStart"/>
      <w:r w:rsidR="00514537" w:rsidRPr="00E90DFA">
        <w:rPr>
          <w:rFonts w:ascii="Times New Roman" w:hAnsi="Times New Roman" w:cs="Times New Roman"/>
          <w:sz w:val="24"/>
          <w:szCs w:val="24"/>
          <w:shd w:val="clear" w:color="auto" w:fill="FFFFFF"/>
        </w:rPr>
        <w:t>Тальбо</w:t>
      </w:r>
      <w:proofErr w:type="spellEnd"/>
      <w:r w:rsidR="00514537" w:rsidRPr="00E90DFA">
        <w:rPr>
          <w:rFonts w:ascii="Times New Roman" w:hAnsi="Times New Roman" w:cs="Times New Roman"/>
          <w:sz w:val="24"/>
          <w:szCs w:val="24"/>
          <w:shd w:val="clear" w:color="auto" w:fill="FFFFFF"/>
        </w:rPr>
        <w:t>, физические основы генерации лазерного излучения, элементы Фурье-оптики, корпускулярно-волнового дуализма, нелинейной оптики.</w:t>
      </w:r>
    </w:p>
    <w:p w:rsidR="00EE40AC" w:rsidRPr="00E90DFA" w:rsidRDefault="00EE40AC" w:rsidP="00EE40AC">
      <w:pPr>
        <w:pStyle w:val="a3"/>
        <w:spacing w:after="200" w:line="276" w:lineRule="auto"/>
        <w:rPr>
          <w:sz w:val="24"/>
          <w:szCs w:val="24"/>
        </w:rPr>
      </w:pPr>
      <w:r w:rsidRPr="00E90DFA">
        <w:rPr>
          <w:sz w:val="24"/>
          <w:szCs w:val="24"/>
        </w:rPr>
        <w:t>Методы решения сеточных уравнений</w:t>
      </w:r>
    </w:p>
    <w:p w:rsidR="00EE40AC" w:rsidRPr="00E90DFA" w:rsidRDefault="00EE40AC" w:rsidP="00EE40AC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    Методы решения сеточных уравнений составляют раздел вычислительной алгебры, связанный с решением систем алгебраических уравнений, возникающих при решении краевых и начально-краевых задач для дифференциальных уравнений в частных производных сеточными методами –  методами конечных разностей и конечных элементов. Специфика этих систем состоит в очень большом числе неизвестных, сильной разреженности и плохой обусловленности матрицы системы. Использование для решения таких систем стандартных </w:t>
      </w:r>
      <w:r w:rsidRPr="00E90DFA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численных методов, ориентированных на системы с плотными матрицами малого или среднего размера, требует, как правило, неприемлемо больших вычислительных затрат, сильно растущих с ростом числа неизвестных. Поэтому возникает необходимость разработки специальных методов и алгоритмов, учитывающих указанные особенности сеточных уравнений. </w:t>
      </w:r>
      <w:r w:rsidRPr="00E90DFA">
        <w:rPr>
          <w:rFonts w:ascii="Times New Roman" w:hAnsi="Times New Roman" w:cs="Times New Roman"/>
          <w:sz w:val="24"/>
          <w:szCs w:val="24"/>
        </w:rPr>
        <w:t>В курсе изучаются  как прямые, так и итерационные методы решения сеточных уравнений. Основное внимание уделяется построению и теоретическому обоснованию методов, а также алгоритмическим аспектам их реализации. В качестве заданий для самостоятельной работы студентам  предлагается решить некоторые вспомогательные задачи, а также провести доказательства ряда утверждений.</w:t>
      </w:r>
    </w:p>
    <w:p w:rsidR="001F41ED" w:rsidRPr="00E90DFA" w:rsidRDefault="001F1E9C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DFA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F75156" w:rsidRPr="00E90DFA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1F41ED" w:rsidRPr="00E90DFA" w:rsidRDefault="00200F2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</w:r>
      <w:r w:rsidR="001F41ED" w:rsidRPr="00E90DFA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="001F41ED" w:rsidRPr="00E90D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F41ED" w:rsidRPr="00E90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1ED" w:rsidRPr="00E90DFA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="001F41ED" w:rsidRPr="00E90DFA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1F41ED" w:rsidRPr="00E90DFA" w:rsidRDefault="001F41ED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0DFA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1F41ED" w:rsidRPr="00E90DFA" w:rsidRDefault="00200F2C" w:rsidP="00F75156">
      <w:pPr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90DFA">
        <w:rPr>
          <w:rFonts w:ascii="Times New Roman" w:eastAsia="MS Mincho" w:hAnsi="Times New Roman" w:cs="Times New Roman"/>
          <w:sz w:val="24"/>
          <w:szCs w:val="24"/>
        </w:rPr>
        <w:tab/>
      </w:r>
      <w:r w:rsidR="001F41ED" w:rsidRPr="00E90DFA">
        <w:rPr>
          <w:rFonts w:ascii="Times New Roman" w:eastAsia="MS Mincho" w:hAnsi="Times New Roman" w:cs="Times New Roman"/>
          <w:sz w:val="24"/>
          <w:szCs w:val="24"/>
        </w:rPr>
        <w:t xml:space="preserve">В курсе излагаются основные численные методы решения задач алгебры, анализа и дифференциальных уравнений. Для основных задач алгебры рассматриваются наиболее употребительные прямые  и некоторые итерационные методы. Методы решения нелинейных уравнений и систем изучаются кратко. Рассматриваются задачи построения </w:t>
      </w:r>
      <w:proofErr w:type="spellStart"/>
      <w:r w:rsidR="001F41ED" w:rsidRPr="00E90DFA">
        <w:rPr>
          <w:rFonts w:ascii="Times New Roman" w:eastAsia="MS Mincho" w:hAnsi="Times New Roman" w:cs="Times New Roman"/>
          <w:sz w:val="24"/>
          <w:szCs w:val="24"/>
        </w:rPr>
        <w:t>наилучщего</w:t>
      </w:r>
      <w:proofErr w:type="spellEnd"/>
      <w:r w:rsidR="001F41ED" w:rsidRPr="00E90DFA">
        <w:rPr>
          <w:rFonts w:ascii="Times New Roman" w:eastAsia="MS Mincho" w:hAnsi="Times New Roman" w:cs="Times New Roman"/>
          <w:sz w:val="24"/>
          <w:szCs w:val="24"/>
        </w:rPr>
        <w:t xml:space="preserve"> в некотором смысле приближения функций. Анализируются методы построения формул численного дифференцирования.</w:t>
      </w:r>
    </w:p>
    <w:p w:rsidR="001F41ED" w:rsidRPr="00E90DFA" w:rsidRDefault="00200F2C" w:rsidP="00200F2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90DFA">
        <w:rPr>
          <w:rFonts w:ascii="Times New Roman" w:eastAsia="MS Mincho" w:hAnsi="Times New Roman" w:cs="Times New Roman"/>
          <w:sz w:val="24"/>
          <w:szCs w:val="24"/>
        </w:rPr>
        <w:tab/>
      </w:r>
      <w:r w:rsidR="00F75156" w:rsidRPr="00E90DFA">
        <w:rPr>
          <w:rFonts w:ascii="Times New Roman" w:eastAsia="MS Mincho" w:hAnsi="Times New Roman" w:cs="Times New Roman"/>
          <w:sz w:val="24"/>
          <w:szCs w:val="24"/>
        </w:rPr>
        <w:t>Что касается дифференци</w:t>
      </w:r>
      <w:r w:rsidR="001F41ED" w:rsidRPr="00E90DFA">
        <w:rPr>
          <w:rFonts w:ascii="Times New Roman" w:eastAsia="MS Mincho" w:hAnsi="Times New Roman" w:cs="Times New Roman"/>
          <w:sz w:val="24"/>
          <w:szCs w:val="24"/>
        </w:rPr>
        <w:t>альных уравнений, то изучаются численные методы решения задачи Коши для систем обыкновенных дифференциальных уравнений, простейшие методы построения разностных схем для решения краевых задач и разностные схемы для простейших уравнений математической физики.</w:t>
      </w:r>
    </w:p>
    <w:p w:rsidR="001F41ED" w:rsidRPr="00E90DFA" w:rsidRDefault="001F41ED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DFA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514537" w:rsidRPr="00E90DFA" w:rsidRDefault="00514537" w:rsidP="0051453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>В настоящем курсе излагаются элементы теории экстремальных задач, а также основы наиболее часто используемых на практике методов приближенного решения экстремальных задач, теоретическое обоснование и краткая характеристика этих методов. Теория и методы минимизации излагаются в общем виде на языке функционального анализа и охватывают, как частный случай, многие методы оптимизации функций конечного числа переменных.</w:t>
      </w:r>
    </w:p>
    <w:p w:rsidR="001F41ED" w:rsidRPr="00E90DFA" w:rsidRDefault="00514537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 xml:space="preserve">      </w:t>
      </w:r>
      <w:r w:rsidRPr="00E90DFA">
        <w:rPr>
          <w:rFonts w:ascii="Times New Roman" w:hAnsi="Times New Roman" w:cs="Times New Roman"/>
          <w:sz w:val="24"/>
          <w:szCs w:val="24"/>
        </w:rPr>
        <w:tab/>
        <w:t xml:space="preserve">В курсе излагаются элементы теории экстремальных задач в гильбертовых и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банаховых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пространствах, методы их решения, рассматриваются некоторые классы задач оптимального управления процессами, описываемые обыкновенными дифференциальными уравнениями и уравнениями с частными производными, также рассматриваются методы решения неустойчивых задач оптимизации.</w:t>
      </w:r>
    </w:p>
    <w:p w:rsidR="00EE40AC" w:rsidRPr="00E90DFA" w:rsidRDefault="00EE40AC" w:rsidP="00EE40A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DFA">
        <w:rPr>
          <w:rFonts w:ascii="Times New Roman" w:hAnsi="Times New Roman" w:cs="Times New Roman"/>
          <w:b/>
          <w:bCs/>
          <w:sz w:val="24"/>
          <w:szCs w:val="24"/>
        </w:rPr>
        <w:t>Векторные и тензорные модели</w:t>
      </w:r>
    </w:p>
    <w:p w:rsidR="00EE40AC" w:rsidRPr="00E90DFA" w:rsidRDefault="00EE40AC" w:rsidP="00EE40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eastAsia="Calibri" w:hAnsi="Times New Roman" w:cs="Times New Roman"/>
          <w:sz w:val="24"/>
          <w:szCs w:val="24"/>
        </w:rPr>
        <w:t xml:space="preserve">Целью курса является изучение основ векторного и тензорного анализа в рамках классической теории поля. </w:t>
      </w:r>
      <w:r w:rsidRPr="00E90DF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90DFA">
        <w:rPr>
          <w:rFonts w:ascii="Times New Roman" w:eastAsia="Calibri" w:hAnsi="Times New Roman" w:cs="Times New Roman"/>
          <w:sz w:val="24"/>
          <w:szCs w:val="24"/>
        </w:rPr>
        <w:t xml:space="preserve">зложение материала построено с расчетом постоянного использования излагаемых сведений к конкретным задачам математической физики и прикладным проблемам, таких как теория упругости, газовая динамика, уравнение </w:t>
      </w:r>
      <w:proofErr w:type="spellStart"/>
      <w:proofErr w:type="gramStart"/>
      <w:r w:rsidRPr="00E90DFA">
        <w:rPr>
          <w:rFonts w:ascii="Times New Roman" w:eastAsia="Calibri" w:hAnsi="Times New Roman" w:cs="Times New Roman"/>
          <w:sz w:val="24"/>
          <w:szCs w:val="24"/>
        </w:rPr>
        <w:t>Навье-</w:t>
      </w:r>
      <w:r w:rsidRPr="00E90DFA">
        <w:rPr>
          <w:rFonts w:ascii="Times New Roman" w:eastAsia="Calibri" w:hAnsi="Times New Roman" w:cs="Times New Roman"/>
          <w:sz w:val="24"/>
          <w:szCs w:val="24"/>
        </w:rPr>
        <w:lastRenderedPageBreak/>
        <w:t>Стокса</w:t>
      </w:r>
      <w:proofErr w:type="spellEnd"/>
      <w:proofErr w:type="gramEnd"/>
      <w:r w:rsidRPr="00E90DFA">
        <w:rPr>
          <w:rFonts w:ascii="Times New Roman" w:eastAsia="Calibri" w:hAnsi="Times New Roman" w:cs="Times New Roman"/>
          <w:sz w:val="24"/>
          <w:szCs w:val="24"/>
        </w:rPr>
        <w:t>, электродинамика, процессы теплопроводности и др.</w:t>
      </w:r>
      <w:r w:rsidRPr="00E90DF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Формируются </w:t>
      </w:r>
      <w:r w:rsidRPr="00E90DFA">
        <w:rPr>
          <w:rFonts w:ascii="Times New Roman" w:eastAsia="Calibri" w:hAnsi="Times New Roman" w:cs="Times New Roman"/>
          <w:sz w:val="24"/>
          <w:szCs w:val="24"/>
        </w:rPr>
        <w:t>представление о том, как применять аппарат векторного и тензорного анализа на практике.</w:t>
      </w:r>
    </w:p>
    <w:p w:rsidR="00261F4C" w:rsidRPr="00E90DFA" w:rsidRDefault="00261F4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F2C" w:rsidRPr="00E90DFA" w:rsidRDefault="00200F2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FA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200F2C" w:rsidRPr="00E90DFA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0DFA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 математической  физики</w:t>
      </w:r>
    </w:p>
    <w:p w:rsidR="00200F2C" w:rsidRPr="00E90DFA" w:rsidRDefault="00200F2C" w:rsidP="00200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</w:r>
      <w:r w:rsidR="00514537" w:rsidRPr="00E90DFA">
        <w:rPr>
          <w:rFonts w:ascii="Times New Roman" w:hAnsi="Times New Roman" w:cs="Times New Roman"/>
          <w:sz w:val="24"/>
          <w:szCs w:val="24"/>
        </w:rPr>
        <w:t>Излагаются  основы теории разностных схем и метода конечных элементов. Рассматриваются прямые и итерационные методы решения систем разностных уравнений, возникающих при аппроксимации многомерных задач математической физики. Обсуждается применение теории устойчивости к исследованию разностных схем. Приводятся примеры построения, исследования и численной реализации разностных схем для  нелинейных задач. В каждом разделе курса разбираются примеры задач, способствующие активному усвоению излагаемого материала.</w:t>
      </w:r>
    </w:p>
    <w:p w:rsidR="00200F2C" w:rsidRPr="00E90DFA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90DFA">
        <w:rPr>
          <w:rFonts w:ascii="Times New Roman" w:hAnsi="Times New Roman" w:cs="Times New Roman"/>
          <w:b/>
          <w:color w:val="auto"/>
          <w:sz w:val="24"/>
          <w:szCs w:val="24"/>
        </w:rPr>
        <w:t>Обратные задачи</w:t>
      </w:r>
    </w:p>
    <w:p w:rsidR="00200F2C" w:rsidRPr="00E90DFA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  <w:t>Курс посвящён изложению основ теории обратных задач и методов их решения. Значительное внимание уделяется исследованию обратных задач  для обыкновенных дифференциальных уравнений и уравнений в частных производных. Рассматриваются задачи компьютерной томографии. Излагаются методы решения обратных и некорректных задач такие как метод регуляризации Тихонова, метод квазирешений</w:t>
      </w:r>
      <w:proofErr w:type="gramStart"/>
      <w:r w:rsidRPr="00E90D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0DFA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квазиобращения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200F2C" w:rsidRPr="00E90DFA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Теория игр и исследование операций</w:t>
      </w:r>
    </w:p>
    <w:p w:rsidR="00200F2C" w:rsidRPr="00E90DFA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  <w:t xml:space="preserve">Курс разбит на три части. В первой излагается теория антагонистических игр, теоремы существования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седловых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точек, свойства оптимальных смешанных стратегий, методы решения матричных и выпуклых непрерывных игр в смешанных стратегиях, приводятся классические модели  игр («нападение-оборона» и дуэли), рассматриваются многошаговые игры с полной информацией. Во второй части рассматриваются неантагонистические игры двух и многих лиц. Основные ее разделы: существование и методы поиска ситуаций равновесия </w:t>
      </w:r>
      <w:proofErr w:type="gramStart"/>
      <w:r w:rsidRPr="00E90D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0DFA">
        <w:rPr>
          <w:rFonts w:ascii="Times New Roman" w:hAnsi="Times New Roman" w:cs="Times New Roman"/>
          <w:sz w:val="24"/>
          <w:szCs w:val="24"/>
        </w:rPr>
        <w:t>в том числе в смешанных стратегиях для биматричных игр), оптимальные стратегии игрока-лидера в иерархических играх двух лиц. В третьей части рассматривается теория принятия решений: многокритериальная оптимизация, ядра бинарных отношений, общая модель операции и подход к ее исследованию на основе принципа гарантированного результата, необходимые условия для оптимальных стратегий и некоторые задачи оптимального распределения ресурсов.</w:t>
      </w:r>
    </w:p>
    <w:p w:rsidR="00200F2C" w:rsidRPr="00E90DFA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Суперкомпьютеры и параллельная обработка данных</w:t>
      </w:r>
    </w:p>
    <w:p w:rsidR="00261F4C" w:rsidRPr="00E90DFA" w:rsidRDefault="00200F2C" w:rsidP="001247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 xml:space="preserve">Данный курс ориентирован на получение базовых знаний и практических навыков в области параллельных вычислений, методов параллельной обработки данных, технологий параллельного программирования и суперкомпьютерных технологий. Материал иллюстрируется примерами суперкомпьютерных систем и технологий, где параллелизм проявляется особенно ярко. Вместе с этим, показывается исключительно важная роль суперкомпьютерных систем как неотъемлемой части формируемой цифровой экономики. В </w:t>
      </w:r>
      <w:r w:rsidRPr="00E90DFA">
        <w:rPr>
          <w:rFonts w:ascii="Times New Roman" w:hAnsi="Times New Roman" w:cs="Times New Roman"/>
          <w:sz w:val="24"/>
          <w:szCs w:val="24"/>
        </w:rPr>
        <w:lastRenderedPageBreak/>
        <w:t>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</w:t>
      </w:r>
    </w:p>
    <w:p w:rsidR="00200F2C" w:rsidRPr="00E90DFA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кибернетики</w:t>
      </w:r>
    </w:p>
    <w:p w:rsidR="00200F2C" w:rsidRPr="00E90DFA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курса – ознакомить студентов с важнейшими разделами  математической</w:t>
      </w:r>
      <w:r w:rsidR="00F75156"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кибернетики. В процессе обучения прививаются навыки свободного общения с такими дискретными объектами, как дизъюнктивные нормальные формы, схемы из функциональных элементов, полные системы тожде</w:t>
      </w:r>
      <w:proofErr w:type="gramStart"/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управляющих систем, тесты,</w:t>
      </w:r>
      <w:r w:rsidR="00F75156"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недетерминированная машина Тьюринга и  NP-полные языки. Везде</w:t>
      </w:r>
      <w:r w:rsidR="00F75156"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построению алгоритмов для решения задач дискретной</w:t>
      </w:r>
      <w:r w:rsidR="00F75156"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математики. Это способствует более глубокому пониманию проблематики теории</w:t>
      </w:r>
      <w:r w:rsidR="00F75156"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D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алгоритмов, ее возможностей и трудностей, помогает строить алгоритмы для решения различных дискретных задач.</w:t>
      </w:r>
    </w:p>
    <w:p w:rsidR="00200F2C" w:rsidRPr="00E90DFA" w:rsidRDefault="00200F2C" w:rsidP="00261F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DFA">
        <w:rPr>
          <w:rFonts w:ascii="Times New Roman" w:eastAsia="Calibri" w:hAnsi="Times New Roman" w:cs="Times New Roman"/>
          <w:b/>
          <w:sz w:val="24"/>
          <w:szCs w:val="24"/>
        </w:rPr>
        <w:t>Дополнительные главы уравнений</w:t>
      </w:r>
      <w:r w:rsidR="00514537" w:rsidRPr="00E90DFA">
        <w:rPr>
          <w:rFonts w:ascii="Times New Roman" w:eastAsia="Calibri" w:hAnsi="Times New Roman" w:cs="Times New Roman"/>
          <w:b/>
          <w:sz w:val="24"/>
          <w:szCs w:val="24"/>
        </w:rPr>
        <w:t xml:space="preserve"> в частных производных</w:t>
      </w:r>
    </w:p>
    <w:p w:rsidR="00200F2C" w:rsidRPr="00E90DFA" w:rsidRDefault="00200F2C" w:rsidP="0012473F">
      <w:pPr>
        <w:pStyle w:val="a5"/>
        <w:spacing w:after="20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DFA">
        <w:rPr>
          <w:rFonts w:ascii="Times New Roman" w:eastAsia="Calibri" w:hAnsi="Times New Roman" w:cs="Times New Roman"/>
          <w:sz w:val="24"/>
          <w:szCs w:val="24"/>
        </w:rPr>
        <w:tab/>
        <w:t xml:space="preserve">В курсе изучаются линейные и нелинейные уравнения с частными производными, описывающие различные естественнонаучные процессы. Рассмотрены специальные разделы теории эллиптических, гиперболических и параболических уравнений, вариационные постановки задач. Отдельное внимание уделяется теории нелинейных уравнений, таких как уравнения </w:t>
      </w:r>
      <w:proofErr w:type="spellStart"/>
      <w:r w:rsidRPr="00E90DFA">
        <w:rPr>
          <w:rFonts w:ascii="Times New Roman" w:eastAsia="Calibri" w:hAnsi="Times New Roman" w:cs="Times New Roman"/>
          <w:sz w:val="24"/>
          <w:szCs w:val="24"/>
        </w:rPr>
        <w:t>Кортевега</w:t>
      </w:r>
      <w:proofErr w:type="spellEnd"/>
      <w:r w:rsidRPr="00E90DFA">
        <w:rPr>
          <w:rFonts w:ascii="Times New Roman" w:eastAsia="Calibri" w:hAnsi="Times New Roman" w:cs="Times New Roman"/>
          <w:sz w:val="24"/>
          <w:szCs w:val="24"/>
        </w:rPr>
        <w:t xml:space="preserve"> де Фриза, </w:t>
      </w:r>
      <w:proofErr w:type="spellStart"/>
      <w:r w:rsidRPr="00E90DFA">
        <w:rPr>
          <w:rFonts w:ascii="Times New Roman" w:eastAsia="Calibri" w:hAnsi="Times New Roman" w:cs="Times New Roman"/>
          <w:sz w:val="24"/>
          <w:szCs w:val="24"/>
        </w:rPr>
        <w:t>Уизема</w:t>
      </w:r>
      <w:proofErr w:type="spellEnd"/>
      <w:r w:rsidRPr="00E90DFA">
        <w:rPr>
          <w:rFonts w:ascii="Times New Roman" w:eastAsia="Calibri" w:hAnsi="Times New Roman" w:cs="Times New Roman"/>
          <w:sz w:val="24"/>
          <w:szCs w:val="24"/>
        </w:rPr>
        <w:t xml:space="preserve"> и sin-Гордон. </w:t>
      </w:r>
    </w:p>
    <w:p w:rsidR="00514537" w:rsidRPr="00E90DFA" w:rsidRDefault="00514537" w:rsidP="0051453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DFA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514537" w:rsidRPr="00E90DFA" w:rsidRDefault="00514537" w:rsidP="00514537">
      <w:pPr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E90DFA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E90DFA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E90DF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E90DFA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12473F" w:rsidRPr="00E90DFA" w:rsidRDefault="0012473F" w:rsidP="0012473F">
      <w:pPr>
        <w:pStyle w:val="1"/>
        <w:spacing w:before="0"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0DFA">
        <w:rPr>
          <w:rFonts w:ascii="Times New Roman" w:hAnsi="Times New Roman" w:cs="Times New Roman"/>
          <w:color w:val="auto"/>
          <w:sz w:val="24"/>
          <w:szCs w:val="24"/>
        </w:rPr>
        <w:t>Математические модели гидродинамики</w:t>
      </w:r>
    </w:p>
    <w:p w:rsidR="00514537" w:rsidRPr="00E90DFA" w:rsidRDefault="00514537" w:rsidP="00514537">
      <w:pPr>
        <w:pStyle w:val="HTML"/>
        <w:shd w:val="clear" w:color="auto" w:fill="FFFFFF"/>
        <w:tabs>
          <w:tab w:val="clear" w:pos="91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FA">
        <w:rPr>
          <w:rFonts w:ascii="Times New Roman" w:hAnsi="Times New Roman" w:cs="Times New Roman"/>
          <w:sz w:val="24"/>
          <w:szCs w:val="24"/>
        </w:rPr>
        <w:tab/>
        <w:t xml:space="preserve">В курсе изложены основные подходы к построению математических моделей механики сплошной среды. Рассматривается вывод уравнений классической газовой динамики (как интегральных, так и дифференциальных) на основе законов сохранения, уравнений </w:t>
      </w:r>
      <w:proofErr w:type="spellStart"/>
      <w:proofErr w:type="gramStart"/>
      <w:r w:rsidRPr="00E90DFA">
        <w:rPr>
          <w:rFonts w:ascii="Times New Roman" w:hAnsi="Times New Roman" w:cs="Times New Roman"/>
          <w:sz w:val="24"/>
          <w:szCs w:val="24"/>
        </w:rPr>
        <w:t>Навье-Стокса</w:t>
      </w:r>
      <w:proofErr w:type="spellEnd"/>
      <w:proofErr w:type="gramEnd"/>
      <w:r w:rsidRPr="00E90DFA">
        <w:rPr>
          <w:rFonts w:ascii="Times New Roman" w:hAnsi="Times New Roman" w:cs="Times New Roman"/>
          <w:sz w:val="24"/>
          <w:szCs w:val="24"/>
        </w:rPr>
        <w:t>, уравнений движения несжимаемой жидкости. Основной задачей курса является знакомство с методами построения математических моделей для различных задач механики сплошной среды.</w:t>
      </w:r>
    </w:p>
    <w:p w:rsidR="0012473F" w:rsidRPr="00E90DFA" w:rsidRDefault="0012473F" w:rsidP="00514537">
      <w:pPr>
        <w:pStyle w:val="2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73F" w:rsidRPr="00E90DFA" w:rsidRDefault="0012473F" w:rsidP="0012473F">
      <w:pPr>
        <w:pStyle w:val="a5"/>
        <w:spacing w:after="20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73F" w:rsidRPr="00E90DFA" w:rsidRDefault="0012473F" w:rsidP="00200F2C">
      <w:pPr>
        <w:pStyle w:val="a5"/>
        <w:spacing w:after="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54C" w:rsidRPr="00E90DFA" w:rsidRDefault="0004154C"/>
    <w:sectPr w:rsidR="0004154C" w:rsidRPr="00E90DFA" w:rsidSect="00261F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54C"/>
    <w:rsid w:val="0004154C"/>
    <w:rsid w:val="0012473F"/>
    <w:rsid w:val="00184D97"/>
    <w:rsid w:val="001F1E9C"/>
    <w:rsid w:val="001F41ED"/>
    <w:rsid w:val="00200F2C"/>
    <w:rsid w:val="0023634C"/>
    <w:rsid w:val="00261F4C"/>
    <w:rsid w:val="00417E4A"/>
    <w:rsid w:val="00501BDB"/>
    <w:rsid w:val="00514537"/>
    <w:rsid w:val="00682C8C"/>
    <w:rsid w:val="006949B4"/>
    <w:rsid w:val="006A2638"/>
    <w:rsid w:val="006B7E7C"/>
    <w:rsid w:val="00812521"/>
    <w:rsid w:val="00A07A5C"/>
    <w:rsid w:val="00A7150D"/>
    <w:rsid w:val="00CA684C"/>
    <w:rsid w:val="00E90DFA"/>
    <w:rsid w:val="00EE40AC"/>
    <w:rsid w:val="00F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38"/>
  </w:style>
  <w:style w:type="paragraph" w:styleId="1">
    <w:name w:val="heading 1"/>
    <w:basedOn w:val="a"/>
    <w:next w:val="a"/>
    <w:link w:val="10"/>
    <w:uiPriority w:val="9"/>
    <w:qFormat/>
    <w:rsid w:val="00041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154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415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1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04154C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4154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04154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41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F41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"/>
    <w:basedOn w:val="a"/>
    <w:link w:val="a6"/>
    <w:uiPriority w:val="99"/>
    <w:semiHidden/>
    <w:unhideWhenUsed/>
    <w:rsid w:val="00200F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0F2C"/>
  </w:style>
  <w:style w:type="character" w:customStyle="1" w:styleId="60">
    <w:name w:val="Заголовок 6 Знак"/>
    <w:basedOn w:val="a0"/>
    <w:link w:val="6"/>
    <w:uiPriority w:val="9"/>
    <w:semiHidden/>
    <w:rsid w:val="001247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uiPriority w:val="99"/>
    <w:semiHidden/>
    <w:unhideWhenUsed/>
    <w:rsid w:val="001247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473F"/>
  </w:style>
  <w:style w:type="paragraph" w:customStyle="1" w:styleId="amailrucssattributepostfix">
    <w:name w:val="a_mailru_css_attribute_postfix"/>
    <w:basedOn w:val="a"/>
    <w:rsid w:val="0051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14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45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Pryanikova</cp:lastModifiedBy>
  <cp:revision>2</cp:revision>
  <dcterms:created xsi:type="dcterms:W3CDTF">2020-01-30T16:47:00Z</dcterms:created>
  <dcterms:modified xsi:type="dcterms:W3CDTF">2020-01-30T16:47:00Z</dcterms:modified>
</cp:coreProperties>
</file>